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87" w:rsidRDefault="00390D87" w:rsidP="00390D87">
      <w:pPr>
        <w:shd w:val="clear" w:color="auto" w:fill="FFFFFF"/>
        <w:ind w:left="56"/>
        <w:jc w:val="center"/>
        <w:rPr>
          <w:szCs w:val="28"/>
        </w:rPr>
      </w:pPr>
      <w:r>
        <w:rPr>
          <w:b/>
          <w:bCs/>
          <w:color w:val="000000"/>
          <w:szCs w:val="28"/>
        </w:rPr>
        <w:t>ТРЕБОВАНИЯ</w:t>
      </w:r>
    </w:p>
    <w:p w:rsidR="00390D87" w:rsidRDefault="00390D87" w:rsidP="00390D87">
      <w:pPr>
        <w:shd w:val="clear" w:color="auto" w:fill="FFFFFF"/>
        <w:spacing w:before="331" w:line="317" w:lineRule="exact"/>
        <w:ind w:left="46"/>
        <w:jc w:val="center"/>
        <w:rPr>
          <w:szCs w:val="28"/>
        </w:rPr>
      </w:pPr>
      <w:r>
        <w:rPr>
          <w:b/>
          <w:bCs/>
          <w:color w:val="000000"/>
          <w:szCs w:val="28"/>
        </w:rPr>
        <w:t>ОБРАЗОВАТЕЛЬНОГО СТАНДАРТА</w:t>
      </w:r>
    </w:p>
    <w:p w:rsidR="00390D87" w:rsidRDefault="00390D87" w:rsidP="00390D87">
      <w:pPr>
        <w:shd w:val="clear" w:color="auto" w:fill="FFFFFF"/>
        <w:spacing w:line="317" w:lineRule="exact"/>
        <w:ind w:left="786"/>
        <w:rPr>
          <w:szCs w:val="28"/>
        </w:rPr>
      </w:pPr>
      <w:proofErr w:type="gramStart"/>
      <w:r>
        <w:rPr>
          <w:b/>
          <w:bCs/>
          <w:color w:val="000000"/>
          <w:szCs w:val="28"/>
        </w:rPr>
        <w:t>(РУКОВОДЯЩИЙ ДОКУМЕНТ РЕСПУБЛИКИ БЕЛАРУСЬ</w:t>
      </w:r>
      <w:proofErr w:type="gramEnd"/>
    </w:p>
    <w:p w:rsidR="00390D87" w:rsidRDefault="00390D87" w:rsidP="00390D87">
      <w:pPr>
        <w:shd w:val="clear" w:color="auto" w:fill="FFFFFF"/>
        <w:spacing w:line="317" w:lineRule="exact"/>
        <w:ind w:left="18"/>
        <w:jc w:val="center"/>
        <w:rPr>
          <w:szCs w:val="28"/>
        </w:rPr>
      </w:pPr>
      <w:proofErr w:type="gramStart"/>
      <w:r>
        <w:rPr>
          <w:b/>
          <w:bCs/>
          <w:color w:val="000000"/>
          <w:szCs w:val="28"/>
        </w:rPr>
        <w:t>РД РБ 02100. 5.041-98)</w:t>
      </w:r>
      <w:proofErr w:type="gramEnd"/>
    </w:p>
    <w:p w:rsidR="00390D87" w:rsidRDefault="00390D87" w:rsidP="00390D87">
      <w:pPr>
        <w:shd w:val="clear" w:color="auto" w:fill="FFFFFF"/>
        <w:spacing w:before="322" w:line="317" w:lineRule="exact"/>
        <w:ind w:left="18"/>
        <w:jc w:val="center"/>
        <w:rPr>
          <w:szCs w:val="28"/>
        </w:rPr>
      </w:pPr>
      <w:r>
        <w:rPr>
          <w:b/>
          <w:bCs/>
          <w:color w:val="000000"/>
          <w:szCs w:val="28"/>
        </w:rPr>
        <w:t>ВЫСШЕЕ ОБРАЗОВАНИЕ</w:t>
      </w:r>
    </w:p>
    <w:p w:rsidR="00390D87" w:rsidRDefault="00390D87" w:rsidP="00390D87">
      <w:pPr>
        <w:shd w:val="clear" w:color="auto" w:fill="FFFFFF"/>
        <w:spacing w:line="317" w:lineRule="exact"/>
        <w:ind w:left="27"/>
        <w:jc w:val="center"/>
        <w:rPr>
          <w:szCs w:val="28"/>
        </w:rPr>
      </w:pPr>
      <w:r>
        <w:rPr>
          <w:b/>
          <w:bCs/>
          <w:color w:val="000000"/>
          <w:szCs w:val="28"/>
        </w:rPr>
        <w:t>Специальность 1-030201 — «</w:t>
      </w:r>
      <w:r>
        <w:rPr>
          <w:b/>
          <w:bCs/>
          <w:caps/>
          <w:color w:val="000000"/>
          <w:szCs w:val="28"/>
        </w:rPr>
        <w:t>Физическая культура</w:t>
      </w:r>
      <w:r>
        <w:rPr>
          <w:b/>
          <w:bCs/>
          <w:color w:val="000000"/>
          <w:szCs w:val="28"/>
        </w:rPr>
        <w:t>»</w:t>
      </w:r>
    </w:p>
    <w:p w:rsidR="00390D87" w:rsidRDefault="00390D87" w:rsidP="00390D87">
      <w:pPr>
        <w:ind w:firstLine="709"/>
        <w:jc w:val="center"/>
        <w:rPr>
          <w:b/>
          <w:szCs w:val="28"/>
        </w:rPr>
      </w:pPr>
    </w:p>
    <w:p w:rsidR="00390D87" w:rsidRDefault="00390D87" w:rsidP="00390D87">
      <w:pPr>
        <w:ind w:firstLine="709"/>
        <w:jc w:val="center"/>
        <w:rPr>
          <w:b/>
          <w:szCs w:val="28"/>
        </w:rPr>
      </w:pPr>
    </w:p>
    <w:p w:rsidR="00390D87" w:rsidRDefault="00390D87" w:rsidP="00390D87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ДИСЦИПЛИНА  «СПОРТИВНЫЕ И ПОДВИЖНЫЕ  ИГРЫ </w:t>
      </w:r>
    </w:p>
    <w:p w:rsidR="00390D87" w:rsidRDefault="00390D87" w:rsidP="00390D87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И МЕТОДИКА ПРЕПОДАВАНИЯ»</w:t>
      </w:r>
    </w:p>
    <w:p w:rsidR="00390D87" w:rsidRDefault="00390D87" w:rsidP="00390D87">
      <w:pPr>
        <w:ind w:firstLine="709"/>
        <w:jc w:val="both"/>
        <w:rPr>
          <w:b/>
          <w:szCs w:val="28"/>
        </w:rPr>
      </w:pPr>
    </w:p>
    <w:p w:rsidR="00390D87" w:rsidRDefault="00390D87" w:rsidP="00390D87">
      <w:pPr>
        <w:tabs>
          <w:tab w:val="left" w:pos="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Подвижные игры. Место и значение подвижных игр в современном физкультурном движении. Подвижные игры в государственной системе образования: содержание игр, организация и методика проведения с различным контингентом занимающихся. Подвижные игры как специально подготовительное средство к спортивным играм – особенности содержания и методики проведения. Подвижные игры как </w:t>
      </w:r>
      <w:proofErr w:type="spellStart"/>
      <w:r>
        <w:rPr>
          <w:sz w:val="30"/>
          <w:szCs w:val="30"/>
        </w:rPr>
        <w:t>общеподготовительное</w:t>
      </w:r>
      <w:proofErr w:type="spellEnd"/>
      <w:r>
        <w:rPr>
          <w:sz w:val="30"/>
          <w:szCs w:val="30"/>
        </w:rPr>
        <w:t xml:space="preserve"> средство в различных видах спорта (единоборства, легкая атлетика, гимнастика, водные виды, зимние виды спорта).</w:t>
      </w:r>
    </w:p>
    <w:p w:rsidR="00390D87" w:rsidRDefault="00390D87" w:rsidP="00390D87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zCs w:val="28"/>
        </w:rPr>
        <w:t>Общие вопросы теории и методики спортивных игр. Введение в предмет. Основные понятия. Основные закономерности спортивно-технического мастерства. Принципы обучения и тренировки. Методы и средства обучения. Частные спортивно-игровые дисциплины: баскетбол, гандбол, волейбол, футбол. История развития вида, место и значение его в современном физкультурном и спортивном движении. Правила безопасности на занятиях. Правила соревнований. Методика обучения спортивной тренировки. Организация занятий и соревнований.</w:t>
      </w:r>
    </w:p>
    <w:p w:rsidR="00390D87" w:rsidRDefault="00390D87" w:rsidP="00390D87">
      <w:pPr>
        <w:ind w:firstLine="709"/>
        <w:rPr>
          <w:b/>
          <w:szCs w:val="28"/>
        </w:rPr>
      </w:pPr>
    </w:p>
    <w:p w:rsidR="00F60453" w:rsidRDefault="00F60453" w:rsidP="00390D87"/>
    <w:sectPr w:rsidR="00F60453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90D87"/>
    <w:rsid w:val="00376741"/>
    <w:rsid w:val="00390D87"/>
    <w:rsid w:val="00495F0F"/>
    <w:rsid w:val="00F21F21"/>
    <w:rsid w:val="00F60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b/>
      <w:sz w:val="3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2016-01-16T09:00:00Z</dcterms:created>
  <dcterms:modified xsi:type="dcterms:W3CDTF">2016-01-16T09:00:00Z</dcterms:modified>
</cp:coreProperties>
</file>